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7672F2">
        <w:rPr>
          <w:rFonts w:ascii="Times New Roman" w:hAnsi="Times New Roman"/>
          <w:b/>
          <w:sz w:val="24"/>
          <w:szCs w:val="24"/>
        </w:rPr>
        <w:t>8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3B790D" w:rsidRDefault="00CA14DC" w:rsidP="003B790D">
      <w:pPr>
        <w:pStyle w:val="ac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90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D30FC6" w:rsidRPr="003B790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90D" w:rsidRPr="003B790D" w:rsidRDefault="00CA14DC" w:rsidP="003B7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90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Основание для проведения контрольного мероприятия</w:t>
      </w:r>
      <w:r w:rsidRPr="003B79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 w:rsidRPr="003B79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3B79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0BFF" w:rsidRPr="003B790D">
        <w:rPr>
          <w:rFonts w:ascii="Times New Roman" w:hAnsi="Times New Roman"/>
          <w:sz w:val="24"/>
          <w:szCs w:val="24"/>
        </w:rPr>
        <w:t>На основании пункта 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 w:rsidRPr="003B790D">
        <w:rPr>
          <w:rFonts w:ascii="Times New Roman" w:hAnsi="Times New Roman"/>
          <w:sz w:val="24"/>
          <w:szCs w:val="24"/>
        </w:rPr>
        <w:t>,</w:t>
      </w:r>
      <w:r w:rsidR="00070BFF" w:rsidRPr="003B790D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765587" w:rsidRPr="003B790D">
        <w:rPr>
          <w:rFonts w:ascii="Times New Roman" w:hAnsi="Times New Roman"/>
          <w:sz w:val="24"/>
          <w:szCs w:val="24"/>
        </w:rPr>
        <w:t xml:space="preserve"> № 3-6 </w:t>
      </w:r>
      <w:r w:rsidR="00070BFF" w:rsidRPr="003B790D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Pr="003B790D">
        <w:rPr>
          <w:rFonts w:ascii="Times New Roman" w:hAnsi="Times New Roman"/>
          <w:sz w:val="24"/>
          <w:szCs w:val="24"/>
        </w:rPr>
        <w:t>го</w:t>
      </w:r>
      <w:r w:rsidR="00070BFF" w:rsidRPr="003B790D">
        <w:rPr>
          <w:rFonts w:ascii="Times New Roman" w:hAnsi="Times New Roman"/>
          <w:sz w:val="24"/>
          <w:szCs w:val="24"/>
        </w:rPr>
        <w:t xml:space="preserve"> отчет</w:t>
      </w:r>
      <w:r w:rsidRPr="003B790D">
        <w:rPr>
          <w:rFonts w:ascii="Times New Roman" w:hAnsi="Times New Roman"/>
          <w:sz w:val="24"/>
          <w:szCs w:val="24"/>
        </w:rPr>
        <w:t>а</w:t>
      </w:r>
      <w:r w:rsidR="00070BFF" w:rsidRPr="003B790D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3B790D" w:rsidRPr="003B790D">
        <w:rPr>
          <w:rFonts w:ascii="Times New Roman" w:hAnsi="Times New Roman"/>
          <w:sz w:val="24"/>
          <w:szCs w:val="24"/>
        </w:rPr>
        <w:t>8</w:t>
      </w:r>
      <w:r w:rsidR="00765587" w:rsidRPr="003B790D">
        <w:rPr>
          <w:rFonts w:ascii="Times New Roman" w:hAnsi="Times New Roman"/>
          <w:sz w:val="24"/>
          <w:szCs w:val="24"/>
        </w:rPr>
        <w:t xml:space="preserve"> </w:t>
      </w:r>
      <w:r w:rsidR="00070BFF" w:rsidRPr="003B790D">
        <w:rPr>
          <w:rFonts w:ascii="Times New Roman" w:hAnsi="Times New Roman"/>
          <w:sz w:val="24"/>
          <w:szCs w:val="24"/>
        </w:rPr>
        <w:t>г</w:t>
      </w:r>
      <w:r w:rsidR="00765587" w:rsidRPr="003B790D">
        <w:rPr>
          <w:rFonts w:ascii="Times New Roman" w:hAnsi="Times New Roman"/>
          <w:sz w:val="24"/>
          <w:szCs w:val="24"/>
        </w:rPr>
        <w:t>од</w:t>
      </w:r>
      <w:r w:rsidR="00070BFF" w:rsidRPr="003B790D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D30FC6" w:rsidRPr="003B790D">
        <w:rPr>
          <w:rFonts w:ascii="Times New Roman" w:hAnsi="Times New Roman"/>
          <w:sz w:val="24"/>
          <w:szCs w:val="24"/>
        </w:rPr>
        <w:t>8</w:t>
      </w:r>
      <w:r w:rsidR="00070BFF" w:rsidRPr="003B790D">
        <w:rPr>
          <w:rFonts w:ascii="Times New Roman" w:hAnsi="Times New Roman"/>
          <w:sz w:val="24"/>
          <w:szCs w:val="24"/>
        </w:rPr>
        <w:t xml:space="preserve"> год Нерюнгринского районного Совета депутатов.</w:t>
      </w:r>
    </w:p>
    <w:p w:rsidR="003B790D" w:rsidRPr="003B790D" w:rsidRDefault="003B790D" w:rsidP="003B790D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585208">
        <w:rPr>
          <w:rFonts w:ascii="Times New Roman" w:hAnsi="Times New Roman"/>
          <w:sz w:val="24"/>
          <w:szCs w:val="24"/>
        </w:rPr>
        <w:t xml:space="preserve">Управлении финансов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</w:p>
    <w:p w:rsidR="003B790D" w:rsidRDefault="003B790D" w:rsidP="00CA14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0BFF" w:rsidRPr="00697E3A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Предмет проверки:</w:t>
      </w:r>
      <w:r w:rsidRPr="00CA14D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годов</w:t>
      </w:r>
      <w:r w:rsidR="00CA14DC">
        <w:rPr>
          <w:rFonts w:ascii="Times New Roman" w:hAnsi="Times New Roman"/>
          <w:sz w:val="24"/>
          <w:szCs w:val="24"/>
        </w:rPr>
        <w:t xml:space="preserve">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CA14DC">
        <w:rPr>
          <w:rFonts w:ascii="Times New Roman" w:hAnsi="Times New Roman"/>
          <w:sz w:val="24"/>
          <w:szCs w:val="24"/>
        </w:rPr>
        <w:t xml:space="preserve">ность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D30FC6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3B790D" w:rsidRDefault="003B790D" w:rsidP="00CA14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 xml:space="preserve">отчетности с решением сессии </w:t>
      </w:r>
      <w:r w:rsidR="00CA14DC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6C28AA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3B790D" w:rsidRDefault="003B790D" w:rsidP="00CA14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0BFF" w:rsidRPr="00EC3184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Срок проверки:</w:t>
      </w:r>
      <w:r w:rsidRPr="00C2446C">
        <w:rPr>
          <w:rFonts w:ascii="Times New Roman" w:hAnsi="Times New Roman"/>
          <w:b/>
          <w:sz w:val="24"/>
          <w:szCs w:val="24"/>
        </w:rPr>
        <w:t xml:space="preserve">  </w:t>
      </w:r>
      <w:r w:rsidR="007D2FCB">
        <w:rPr>
          <w:rFonts w:ascii="Times New Roman" w:hAnsi="Times New Roman"/>
          <w:sz w:val="24"/>
          <w:szCs w:val="24"/>
        </w:rPr>
        <w:t>с 01.03.201</w:t>
      </w:r>
      <w:r w:rsidR="00D30FC6">
        <w:rPr>
          <w:rFonts w:ascii="Times New Roman" w:hAnsi="Times New Roman"/>
          <w:sz w:val="24"/>
          <w:szCs w:val="24"/>
        </w:rPr>
        <w:t>9</w:t>
      </w:r>
      <w:r w:rsidR="007D2FCB">
        <w:rPr>
          <w:rFonts w:ascii="Times New Roman" w:hAnsi="Times New Roman"/>
          <w:sz w:val="24"/>
          <w:szCs w:val="24"/>
        </w:rPr>
        <w:t xml:space="preserve"> по 31.03.201</w:t>
      </w:r>
      <w:r w:rsidR="00D30FC6">
        <w:rPr>
          <w:rFonts w:ascii="Times New Roman" w:hAnsi="Times New Roman"/>
          <w:sz w:val="24"/>
          <w:szCs w:val="24"/>
        </w:rPr>
        <w:t>9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3B790D" w:rsidRDefault="003B790D" w:rsidP="00CA14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0BFF" w:rsidRDefault="00070BFF" w:rsidP="00CA1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D30FC6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3B790D" w:rsidRDefault="003B790D" w:rsidP="00CA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0BFF" w:rsidRPr="00CA14DC" w:rsidRDefault="00070BFF" w:rsidP="00CA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14DC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CA14D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7.12.2010 № 6-23 «Об утверждении Положения о бюджетном процессе в Нерюнгринском районе»;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Решения Нерюнгринского районного Совета депутатов Республики Саха (Якутия) от 2</w:t>
      </w:r>
      <w:r w:rsidR="003B79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.12.201</w:t>
      </w:r>
      <w:r w:rsidR="003B790D">
        <w:rPr>
          <w:rFonts w:ascii="Times New Roman" w:hAnsi="Times New Roman"/>
          <w:sz w:val="24"/>
          <w:szCs w:val="24"/>
        </w:rPr>
        <w:t>7</w:t>
      </w:r>
      <w:r w:rsidR="007D2FCB">
        <w:rPr>
          <w:rFonts w:ascii="Times New Roman" w:hAnsi="Times New Roman"/>
          <w:sz w:val="24"/>
          <w:szCs w:val="24"/>
        </w:rPr>
        <w:t xml:space="preserve"> № </w:t>
      </w:r>
      <w:r w:rsidR="003B79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3B790D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3B790D">
        <w:rPr>
          <w:rFonts w:ascii="Times New Roman" w:hAnsi="Times New Roman"/>
          <w:sz w:val="24"/>
          <w:szCs w:val="24"/>
        </w:rPr>
        <w:t>8</w:t>
      </w:r>
      <w:r w:rsidR="00CA14DC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3B790D">
        <w:rPr>
          <w:rFonts w:ascii="Times New Roman" w:hAnsi="Times New Roman"/>
          <w:sz w:val="24"/>
          <w:szCs w:val="24"/>
        </w:rPr>
        <w:t>9</w:t>
      </w:r>
      <w:r w:rsidR="00CA14DC">
        <w:rPr>
          <w:rFonts w:ascii="Times New Roman" w:hAnsi="Times New Roman"/>
          <w:sz w:val="24"/>
          <w:szCs w:val="24"/>
        </w:rPr>
        <w:t xml:space="preserve"> и 20</w:t>
      </w:r>
      <w:r w:rsidR="003B790D">
        <w:rPr>
          <w:rFonts w:ascii="Times New Roman" w:hAnsi="Times New Roman"/>
          <w:sz w:val="24"/>
          <w:szCs w:val="24"/>
        </w:rPr>
        <w:t>20</w:t>
      </w:r>
      <w:r w:rsidR="00CA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A14D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D30FC6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070BFF" w:rsidRDefault="00D427D2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E7060F">
        <w:rPr>
          <w:rFonts w:ascii="Times New Roman" w:hAnsi="Times New Roman"/>
          <w:bCs/>
          <w:spacing w:val="3"/>
          <w:sz w:val="24"/>
          <w:szCs w:val="24"/>
        </w:rPr>
        <w:t>8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E7060F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>8 797,93</w:t>
      </w:r>
      <w:r w:rsidR="00070BFF" w:rsidRPr="00A24425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</w:t>
      </w:r>
      <w:r w:rsidR="00070BFF" w:rsidRPr="004107AF">
        <w:rPr>
          <w:rFonts w:ascii="Times New Roman" w:hAnsi="Times New Roman"/>
          <w:b/>
          <w:bCs/>
          <w:spacing w:val="3"/>
          <w:sz w:val="24"/>
          <w:szCs w:val="24"/>
        </w:rPr>
        <w:t>. руб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.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</w:t>
      </w:r>
      <w:r w:rsidR="00E7060F">
        <w:rPr>
          <w:rFonts w:ascii="Times New Roman" w:hAnsi="Times New Roman"/>
          <w:sz w:val="24"/>
          <w:szCs w:val="24"/>
        </w:rPr>
        <w:t>2</w:t>
      </w:r>
      <w:r w:rsidR="00671A04" w:rsidRPr="002639FF">
        <w:rPr>
          <w:rFonts w:ascii="Times New Roman" w:hAnsi="Times New Roman"/>
          <w:sz w:val="24"/>
          <w:szCs w:val="24"/>
        </w:rPr>
        <w:t>.12.201</w:t>
      </w:r>
      <w:r w:rsidR="00E7060F">
        <w:rPr>
          <w:rFonts w:ascii="Times New Roman" w:hAnsi="Times New Roman"/>
          <w:sz w:val="24"/>
          <w:szCs w:val="24"/>
        </w:rPr>
        <w:t>7</w:t>
      </w:r>
      <w:r w:rsidR="009C3B76">
        <w:rPr>
          <w:rFonts w:ascii="Times New Roman" w:hAnsi="Times New Roman"/>
          <w:sz w:val="24"/>
          <w:szCs w:val="24"/>
        </w:rPr>
        <w:t xml:space="preserve">   </w:t>
      </w:r>
      <w:r w:rsidR="00671A04" w:rsidRPr="002639FF">
        <w:rPr>
          <w:rFonts w:ascii="Times New Roman" w:hAnsi="Times New Roman"/>
          <w:sz w:val="24"/>
          <w:szCs w:val="24"/>
        </w:rPr>
        <w:t xml:space="preserve"> №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E7060F">
        <w:rPr>
          <w:rFonts w:ascii="Times New Roman" w:hAnsi="Times New Roman"/>
          <w:sz w:val="24"/>
          <w:szCs w:val="24"/>
        </w:rPr>
        <w:t>8</w:t>
      </w:r>
      <w:r w:rsidR="00671A04" w:rsidRPr="002639FF">
        <w:rPr>
          <w:rFonts w:ascii="Times New Roman" w:hAnsi="Times New Roman"/>
          <w:sz w:val="24"/>
          <w:szCs w:val="24"/>
        </w:rPr>
        <w:t>-</w:t>
      </w:r>
      <w:r w:rsidR="00E7060F">
        <w:rPr>
          <w:rFonts w:ascii="Times New Roman" w:hAnsi="Times New Roman"/>
          <w:sz w:val="24"/>
          <w:szCs w:val="24"/>
        </w:rPr>
        <w:t>42</w:t>
      </w:r>
      <w:r w:rsidR="00671A0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9C3B76">
        <w:rPr>
          <w:rFonts w:ascii="Times New Roman" w:hAnsi="Times New Roman"/>
          <w:sz w:val="24"/>
          <w:szCs w:val="24"/>
        </w:rPr>
        <w:t>1</w:t>
      </w:r>
      <w:r w:rsidR="00E7060F">
        <w:rPr>
          <w:rFonts w:ascii="Times New Roman" w:hAnsi="Times New Roman"/>
          <w:sz w:val="24"/>
          <w:szCs w:val="24"/>
        </w:rPr>
        <w:t>8</w:t>
      </w:r>
      <w:r w:rsidR="003A14D6">
        <w:rPr>
          <w:rFonts w:ascii="Times New Roman" w:hAnsi="Times New Roman"/>
          <w:sz w:val="24"/>
          <w:szCs w:val="24"/>
        </w:rPr>
        <w:t xml:space="preserve"> </w:t>
      </w:r>
      <w:r w:rsidR="00671A04" w:rsidRPr="002639FF">
        <w:rPr>
          <w:rFonts w:ascii="Times New Roman" w:hAnsi="Times New Roman"/>
          <w:sz w:val="24"/>
          <w:szCs w:val="24"/>
        </w:rPr>
        <w:t>год</w:t>
      </w:r>
      <w:r w:rsidR="003A14D6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E7060F">
        <w:rPr>
          <w:rFonts w:ascii="Times New Roman" w:hAnsi="Times New Roman"/>
          <w:sz w:val="24"/>
          <w:szCs w:val="24"/>
        </w:rPr>
        <w:t>9</w:t>
      </w:r>
      <w:r w:rsidR="003A14D6">
        <w:rPr>
          <w:rFonts w:ascii="Times New Roman" w:hAnsi="Times New Roman"/>
          <w:sz w:val="24"/>
          <w:szCs w:val="24"/>
        </w:rPr>
        <w:t xml:space="preserve"> и 20</w:t>
      </w:r>
      <w:r w:rsidR="00E7060F">
        <w:rPr>
          <w:rFonts w:ascii="Times New Roman" w:hAnsi="Times New Roman"/>
          <w:sz w:val="24"/>
          <w:szCs w:val="24"/>
        </w:rPr>
        <w:t>20</w:t>
      </w:r>
      <w:r w:rsidR="003A14D6">
        <w:rPr>
          <w:rFonts w:ascii="Times New Roman" w:hAnsi="Times New Roman"/>
          <w:sz w:val="24"/>
          <w:szCs w:val="24"/>
        </w:rPr>
        <w:t xml:space="preserve"> годов</w:t>
      </w:r>
      <w:r w:rsidR="00671A04" w:rsidRPr="002639FF">
        <w:rPr>
          <w:rFonts w:ascii="Times New Roman" w:hAnsi="Times New Roman"/>
          <w:sz w:val="24"/>
          <w:szCs w:val="24"/>
        </w:rPr>
        <w:t>»</w:t>
      </w:r>
      <w:r w:rsidR="00070BFF">
        <w:rPr>
          <w:rFonts w:ascii="Times New Roman" w:hAnsi="Times New Roman"/>
          <w:sz w:val="24"/>
        </w:rPr>
        <w:t>,</w:t>
      </w:r>
      <w:r w:rsidR="00070BFF" w:rsidRPr="005613AB">
        <w:rPr>
          <w:rFonts w:ascii="Times New Roman" w:hAnsi="Times New Roman"/>
          <w:bCs/>
          <w:spacing w:val="3"/>
          <w:sz w:val="24"/>
          <w:szCs w:val="24"/>
        </w:rPr>
        <w:t xml:space="preserve"> из н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их исполнено </w:t>
      </w:r>
      <w:r w:rsidR="00A36881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 xml:space="preserve">8 926,01 </w:t>
      </w:r>
      <w:r w:rsidR="00070BFF" w:rsidRPr="00820645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A36881" w:rsidRPr="00A36881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>4,3</w:t>
      </w:r>
      <w:r w:rsidR="00070BFF" w:rsidRPr="00A3688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815"/>
        <w:gridCol w:w="1885"/>
        <w:gridCol w:w="1665"/>
        <w:gridCol w:w="1273"/>
        <w:gridCol w:w="1259"/>
      </w:tblGrid>
      <w:tr w:rsidR="00070BFF" w:rsidRPr="00C46100" w:rsidTr="00E7060F">
        <w:trPr>
          <w:trHeight w:val="863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A1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3A14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A1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201</w:t>
            </w:r>
            <w:r w:rsidR="003A14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E7060F" w:rsidRPr="00E7060F" w:rsidTr="00E7060F">
        <w:trPr>
          <w:cantSplit/>
          <w:trHeight w:hRule="exact" w:val="406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5 726,23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5 556,40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169,83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97,0</w:t>
            </w:r>
          </w:p>
        </w:tc>
      </w:tr>
      <w:tr w:rsidR="00E7060F" w:rsidRPr="00E7060F" w:rsidTr="00E7060F">
        <w:trPr>
          <w:cantSplit/>
          <w:trHeight w:hRule="exact" w:val="568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1 688,69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1 360,48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328,21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80,6</w:t>
            </w:r>
          </w:p>
        </w:tc>
      </w:tr>
      <w:tr w:rsidR="00E7060F" w:rsidRPr="00E7060F" w:rsidTr="00E7060F">
        <w:trPr>
          <w:cantSplit/>
          <w:trHeight w:hRule="exact" w:val="421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222,19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218,89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98,5</w:t>
            </w:r>
          </w:p>
        </w:tc>
      </w:tr>
      <w:tr w:rsidR="00E7060F" w:rsidRPr="00E7060F" w:rsidTr="00E7060F">
        <w:trPr>
          <w:cantSplit/>
          <w:trHeight w:hRule="exact" w:val="426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862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Оплата проезда к месту служебных командировок и обратно к месту постоянной работы, транспортом общего пользования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496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23,70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23,70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480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282,99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282,99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430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336,69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336,69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564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53,1</w:t>
            </w:r>
          </w:p>
        </w:tc>
      </w:tr>
      <w:tr w:rsidR="00E7060F" w:rsidRPr="00E7060F" w:rsidTr="00E7060F">
        <w:trPr>
          <w:cantSplit/>
          <w:trHeight w:hRule="exact" w:val="700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73,23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73,23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cantSplit/>
          <w:trHeight w:hRule="exact" w:val="710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189,48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189,48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E7060F">
        <w:trPr>
          <w:trHeight w:val="52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8 797,93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8 296,01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501,92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94,3</w:t>
            </w:r>
          </w:p>
        </w:tc>
      </w:tr>
    </w:tbl>
    <w:p w:rsidR="00E7060F" w:rsidRDefault="00E7060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C1427E" w:rsidRDefault="00070BF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97CA2">
        <w:rPr>
          <w:rFonts w:ascii="Times New Roman" w:hAnsi="Times New Roman"/>
          <w:bCs/>
          <w:spacing w:val="3"/>
          <w:sz w:val="24"/>
          <w:szCs w:val="24"/>
        </w:rPr>
        <w:lastRenderedPageBreak/>
        <w:t>В 201</w:t>
      </w:r>
      <w:r w:rsidR="00E7060F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Pr="00196283">
        <w:rPr>
          <w:rFonts w:ascii="Times New Roman" w:hAnsi="Times New Roman"/>
          <w:bCs/>
          <w:spacing w:val="3"/>
          <w:sz w:val="24"/>
          <w:szCs w:val="24"/>
        </w:rPr>
        <w:t>9</w:t>
      </w:r>
      <w:r w:rsidR="00585208">
        <w:rPr>
          <w:rFonts w:ascii="Times New Roman" w:hAnsi="Times New Roman"/>
          <w:bCs/>
          <w:spacing w:val="3"/>
          <w:sz w:val="24"/>
          <w:szCs w:val="24"/>
        </w:rPr>
        <w:t>4,3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3B790D" w:rsidRDefault="00C1427E" w:rsidP="0024278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>по следующим кодам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 xml:space="preserve"> бюджетной классификации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3B790D" w:rsidRDefault="003B790D" w:rsidP="00E258B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- 659 0103 9910011410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 xml:space="preserve"> 853 </w:t>
      </w:r>
      <w:r>
        <w:rPr>
          <w:rFonts w:ascii="Times New Roman" w:hAnsi="Times New Roman"/>
          <w:bCs/>
          <w:spacing w:val="3"/>
          <w:sz w:val="24"/>
          <w:szCs w:val="24"/>
        </w:rPr>
        <w:t>– 0,57 тыс. рублей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>,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C3A17" w:rsidRPr="00FF2DA8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>следствие</w:t>
      </w:r>
      <w:r w:rsidR="00C1427E" w:rsidRPr="00FF2DA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экономии по налогу на имущество, с связи со списанием основного средства;</w:t>
      </w:r>
    </w:p>
    <w:p w:rsidR="00E258BD" w:rsidRDefault="003B790D" w:rsidP="00E258B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 xml:space="preserve">659 0103 9910011710 121 - 2,1 тыс. рублей, </w:t>
      </w:r>
      <w:r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>экономи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>я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0D20">
        <w:rPr>
          <w:rFonts w:ascii="Times New Roman" w:hAnsi="Times New Roman"/>
          <w:bCs/>
          <w:spacing w:val="3"/>
          <w:sz w:val="24"/>
          <w:szCs w:val="24"/>
        </w:rPr>
        <w:t>по заработной плате</w:t>
      </w:r>
      <w:r w:rsidR="00E258BD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E258BD" w:rsidRDefault="00E258BD" w:rsidP="00E258B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- 659 0103 9910011710 122  - 3,3 тыс. рублей, экономия на оплату командировочных расходов,</w:t>
      </w:r>
    </w:p>
    <w:p w:rsidR="00070BFF" w:rsidRDefault="00E258BD" w:rsidP="00E258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- 659 0103 9910011710 129 – 137,9 тыс. рублей, экономия по налогу на заработную плату, за счет применения регрессивной ставки по налогообложению;</w:t>
      </w:r>
    </w:p>
    <w:p w:rsidR="00E258BD" w:rsidRDefault="00E258BD" w:rsidP="00E258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- 659 0103 9910011720 121 – 167,73 тыс. рублей, </w:t>
      </w:r>
      <w:r w:rsidRPr="00356672">
        <w:rPr>
          <w:rFonts w:ascii="Times New Roman" w:hAnsi="Times New Roman"/>
          <w:bCs/>
          <w:spacing w:val="3"/>
          <w:sz w:val="24"/>
          <w:szCs w:val="24"/>
        </w:rPr>
        <w:t>экономи</w:t>
      </w:r>
      <w:r>
        <w:rPr>
          <w:rFonts w:ascii="Times New Roman" w:hAnsi="Times New Roman"/>
          <w:bCs/>
          <w:spacing w:val="3"/>
          <w:sz w:val="24"/>
          <w:szCs w:val="24"/>
        </w:rPr>
        <w:t>я</w:t>
      </w:r>
      <w:r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по заработной плате;</w:t>
      </w:r>
    </w:p>
    <w:p w:rsidR="00E258BD" w:rsidRDefault="00E258BD" w:rsidP="00E258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- 659 0103 9910011720 129 – 190,31 тыс. рублей,  экономия по налогу на заработную плату, за счет применения регрессивной ставки по налогообложению.</w:t>
      </w:r>
    </w:p>
    <w:p w:rsidR="00E258BD" w:rsidRPr="005B30EC" w:rsidRDefault="00E258BD" w:rsidP="00E258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053C4" w:rsidRPr="00B91F67" w:rsidRDefault="006053C4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430CD1">
        <w:rPr>
          <w:rFonts w:ascii="Times New Roman" w:hAnsi="Times New Roman"/>
          <w:b/>
          <w:sz w:val="24"/>
          <w:szCs w:val="24"/>
        </w:rPr>
        <w:t xml:space="preserve"> 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070BFF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611054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611054" w:rsidRPr="00697E3A" w:rsidRDefault="00611054" w:rsidP="00611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«Справка о наличии имущества и обязательств на забалансовых счетах» (ф. 0503130);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8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28143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Бюджетная смета на 201</w:t>
      </w:r>
      <w:r w:rsidR="00611054" w:rsidRPr="001E1C96">
        <w:rPr>
          <w:rFonts w:ascii="Times New Roman" w:hAnsi="Times New Roman"/>
          <w:sz w:val="24"/>
          <w:szCs w:val="24"/>
        </w:rPr>
        <w:t>8</w:t>
      </w:r>
      <w:r w:rsidRPr="001E1C96">
        <w:rPr>
          <w:rFonts w:ascii="Times New Roman" w:hAnsi="Times New Roman"/>
          <w:sz w:val="24"/>
          <w:szCs w:val="24"/>
        </w:rPr>
        <w:t xml:space="preserve"> год</w:t>
      </w:r>
      <w:r w:rsidR="00930D20" w:rsidRPr="001E1C96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11054" w:rsidRPr="001E1C96">
        <w:rPr>
          <w:rFonts w:ascii="Times New Roman" w:hAnsi="Times New Roman"/>
          <w:sz w:val="24"/>
          <w:szCs w:val="24"/>
        </w:rPr>
        <w:t>9</w:t>
      </w:r>
      <w:r w:rsidR="00930D20" w:rsidRPr="001E1C96">
        <w:rPr>
          <w:rFonts w:ascii="Times New Roman" w:hAnsi="Times New Roman"/>
          <w:sz w:val="24"/>
          <w:szCs w:val="24"/>
        </w:rPr>
        <w:t>-20</w:t>
      </w:r>
      <w:r w:rsidR="00611054" w:rsidRPr="001E1C96">
        <w:rPr>
          <w:rFonts w:ascii="Times New Roman" w:hAnsi="Times New Roman"/>
          <w:sz w:val="24"/>
          <w:szCs w:val="24"/>
        </w:rPr>
        <w:t>20</w:t>
      </w:r>
      <w:r w:rsidR="00930D20" w:rsidRPr="001E1C96">
        <w:rPr>
          <w:rFonts w:ascii="Times New Roman" w:hAnsi="Times New Roman"/>
          <w:sz w:val="24"/>
          <w:szCs w:val="24"/>
        </w:rPr>
        <w:t xml:space="preserve"> годов</w:t>
      </w:r>
      <w:r w:rsidRPr="001E1C96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B87E84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995688" w:rsidRPr="001E1C96" w:rsidRDefault="00995688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 Оборотно-сальдовая ведомость за 2018 год,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счету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«Касса»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2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3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5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6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7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8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7672F2"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lastRenderedPageBreak/>
        <w:t xml:space="preserve"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деятельности с 01 января по 31 декабря 2018 года. 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 соответствии с требованиями пункта 4 Инструкции 191н отчетность на бумажном носителе Совета депутатов представлена в сброшюрованном и пронумерованном виде, с оглавлением и сопроводительным письмом.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7672F2" w:rsidRPr="001E1C96" w:rsidRDefault="007672F2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1E1C96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70BFF" w:rsidRPr="001E1C96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1E1C96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 w:rsidRPr="001E1C96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1E1C96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 w:rsidRPr="001E1C96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1E1C96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 w:rsidRPr="001E1C96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1E1C96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 w:rsidRPr="001E1C96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1E1C9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E1C96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E1C9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1E1C9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Pr="001E1C96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1E1C9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1E1C9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1E1C9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1E1C96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5963B6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A918F4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 в полном объеме. </w:t>
      </w:r>
    </w:p>
    <w:p w:rsidR="00E258BD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58BD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72F2" w:rsidRPr="001E1C96" w:rsidRDefault="00070BFF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lastRenderedPageBreak/>
        <w:t>2.</w:t>
      </w:r>
      <w:r w:rsidR="00D9612B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 отчетности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E1C9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1E1C96">
        <w:rPr>
          <w:rFonts w:ascii="Times New Roman" w:hAnsi="Times New Roman"/>
          <w:bCs/>
          <w:sz w:val="24"/>
          <w:szCs w:val="24"/>
        </w:rPr>
        <w:t>.12.</w:t>
      </w:r>
      <w:r w:rsidRPr="001E1C96">
        <w:rPr>
          <w:rFonts w:ascii="Times New Roman" w:hAnsi="Times New Roman"/>
          <w:bCs/>
          <w:sz w:val="24"/>
          <w:szCs w:val="24"/>
        </w:rPr>
        <w:t>2010 </w:t>
      </w:r>
      <w:r w:rsidR="0005256C" w:rsidRPr="001E1C96">
        <w:rPr>
          <w:rFonts w:ascii="Times New Roman" w:hAnsi="Times New Roman"/>
          <w:bCs/>
          <w:sz w:val="24"/>
          <w:szCs w:val="24"/>
        </w:rPr>
        <w:t>№</w:t>
      </w:r>
      <w:r w:rsidRPr="001E1C96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E1C96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1E1C9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E1C9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1E1C9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E1C9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70BFF" w:rsidRPr="001E1C96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Нерюнгринским районным Советом депутатов предоставлены в Контрольно </w:t>
      </w:r>
      <w:r w:rsidR="0005256C" w:rsidRPr="001E1C96">
        <w:rPr>
          <w:rFonts w:ascii="Times New Roman" w:hAnsi="Times New Roman"/>
          <w:sz w:val="24"/>
          <w:szCs w:val="24"/>
        </w:rPr>
        <w:t>-</w:t>
      </w:r>
      <w:r w:rsidRPr="001E1C9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="0005256C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05256C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>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="00B5675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B56753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 xml:space="preserve">, главная книга за </w:t>
      </w:r>
      <w:r w:rsidR="00B56753" w:rsidRPr="001E1C96">
        <w:rPr>
          <w:rFonts w:ascii="Times New Roman" w:hAnsi="Times New Roman"/>
          <w:sz w:val="24"/>
          <w:szCs w:val="24"/>
        </w:rPr>
        <w:t>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>.</w:t>
      </w:r>
    </w:p>
    <w:p w:rsidR="00070BFF" w:rsidRPr="001E1C96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73"/>
      <w:r w:rsidRPr="001E1C96">
        <w:rPr>
          <w:rFonts w:ascii="Times New Roman" w:hAnsi="Times New Roman"/>
          <w:sz w:val="24"/>
          <w:szCs w:val="24"/>
        </w:rPr>
        <w:t>Проверка показала</w:t>
      </w:r>
      <w:r w:rsidR="00070BFF" w:rsidRPr="001E1C9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="00070BFF" w:rsidRPr="001E1C96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4C6686" w:rsidRPr="001E1C96" w:rsidRDefault="004C6686" w:rsidP="004C6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E5568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7B24C1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585208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Главная книга за </w:t>
      </w:r>
      <w:r w:rsidR="00E55683" w:rsidRPr="001E1C96">
        <w:rPr>
          <w:rFonts w:ascii="Times New Roman" w:hAnsi="Times New Roman"/>
          <w:sz w:val="24"/>
          <w:szCs w:val="24"/>
        </w:rPr>
        <w:t>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="00E55683" w:rsidRPr="001E1C96">
        <w:rPr>
          <w:rFonts w:ascii="Times New Roman" w:hAnsi="Times New Roman"/>
          <w:sz w:val="24"/>
          <w:szCs w:val="24"/>
        </w:rPr>
        <w:t xml:space="preserve"> года,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="00E55683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(ф.0504072);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Pr="001E1C96">
        <w:rPr>
          <w:rFonts w:ascii="Times New Roman" w:hAnsi="Times New Roman"/>
          <w:sz w:val="24"/>
          <w:szCs w:val="24"/>
        </w:rPr>
        <w:t xml:space="preserve"> года,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 (№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1,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2 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3,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4,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5,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6,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7,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8).</w:t>
      </w:r>
    </w:p>
    <w:p w:rsidR="00070BFF" w:rsidRPr="001E1C96" w:rsidRDefault="00070BFF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995688" w:rsidRPr="001E1C96">
        <w:rPr>
          <w:rFonts w:ascii="Times New Roman" w:hAnsi="Times New Roman"/>
          <w:sz w:val="24"/>
          <w:szCs w:val="24"/>
        </w:rPr>
        <w:t>8</w:t>
      </w:r>
      <w:r w:rsidRPr="001E1C96">
        <w:rPr>
          <w:rFonts w:ascii="Times New Roman" w:hAnsi="Times New Roman"/>
          <w:sz w:val="24"/>
          <w:szCs w:val="24"/>
        </w:rPr>
        <w:t xml:space="preserve"> года и на 01.01.201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 совпадают с данными наличия на начало и на конец отчетного периода, отраженными в бухгалтерской отчетности.</w:t>
      </w:r>
    </w:p>
    <w:p w:rsidR="00070BFF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(ф.0503130),  главной книгой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журналами операций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995688" w:rsidRPr="001E1C96">
        <w:rPr>
          <w:rFonts w:ascii="Times New Roman" w:hAnsi="Times New Roman"/>
          <w:sz w:val="24"/>
          <w:szCs w:val="24"/>
        </w:rPr>
        <w:t>7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</w:t>
      </w:r>
      <w:r w:rsidR="00B97DE3" w:rsidRPr="001E1C96">
        <w:rPr>
          <w:rFonts w:ascii="Times New Roman" w:hAnsi="Times New Roman"/>
          <w:sz w:val="24"/>
          <w:szCs w:val="24"/>
        </w:rPr>
        <w:t xml:space="preserve">представленными </w:t>
      </w:r>
      <w:r w:rsidRPr="001E1C96">
        <w:rPr>
          <w:rFonts w:ascii="Times New Roman" w:hAnsi="Times New Roman"/>
          <w:sz w:val="24"/>
          <w:szCs w:val="24"/>
        </w:rPr>
        <w:t>форм</w:t>
      </w:r>
      <w:r w:rsidR="00B97DE3" w:rsidRPr="001E1C96">
        <w:rPr>
          <w:rFonts w:ascii="Times New Roman" w:hAnsi="Times New Roman"/>
          <w:sz w:val="24"/>
          <w:szCs w:val="24"/>
        </w:rPr>
        <w:t>ами</w:t>
      </w:r>
      <w:r w:rsidRPr="001E1C96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E258BD" w:rsidRPr="00E258BD" w:rsidRDefault="00E258BD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BD">
        <w:rPr>
          <w:rFonts w:ascii="Times New Roman" w:hAnsi="Times New Roman"/>
          <w:sz w:val="24"/>
          <w:szCs w:val="24"/>
        </w:rPr>
        <w:t>В ходе проверки Баланса 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070BFF" w:rsidRPr="001E1C96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044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B97DE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F71682" w:rsidRPr="001E1C96">
        <w:rPr>
          <w:rFonts w:ascii="Times New Roman" w:hAnsi="Times New Roman"/>
          <w:sz w:val="24"/>
          <w:szCs w:val="24"/>
        </w:rPr>
        <w:t>(ф. 0503110)</w:t>
      </w:r>
      <w:r w:rsidR="004773A8" w:rsidRPr="001E1C96">
        <w:rPr>
          <w:rFonts w:ascii="Times New Roman" w:hAnsi="Times New Roman"/>
          <w:sz w:val="24"/>
          <w:szCs w:val="24"/>
        </w:rPr>
        <w:t xml:space="preserve"> и формами годовой бюджетной отчетности соблюдены.  </w:t>
      </w:r>
    </w:p>
    <w:p w:rsidR="001227FF" w:rsidRPr="001E1C96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1E1C9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1E1C96">
        <w:rPr>
          <w:rFonts w:ascii="Times New Roman" w:hAnsi="Times New Roman"/>
          <w:sz w:val="24"/>
          <w:szCs w:val="24"/>
        </w:rPr>
        <w:t>сформирована на 01.01.201</w:t>
      </w:r>
      <w:r w:rsidR="00995688" w:rsidRPr="001E1C96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1B14A0" w:rsidRPr="001E1C96">
        <w:rPr>
          <w:rFonts w:ascii="Times New Roman" w:hAnsi="Times New Roman"/>
          <w:sz w:val="24"/>
          <w:szCs w:val="24"/>
        </w:rPr>
        <w:t>, расхождений не выявлено.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070BFF" w:rsidRPr="001E1C96" w:rsidRDefault="00070BFF" w:rsidP="0004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8BD" w:rsidRDefault="00E258BD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lastRenderedPageBreak/>
        <w:t>2.</w:t>
      </w:r>
      <w:r w:rsidR="00F71682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773A8" w:rsidRPr="001E1C96">
        <w:rPr>
          <w:rFonts w:ascii="Times New Roman" w:hAnsi="Times New Roman"/>
          <w:sz w:val="24"/>
          <w:szCs w:val="24"/>
        </w:rPr>
        <w:t xml:space="preserve">и формами годовой бюджетной отчетности соблюдены.  </w:t>
      </w:r>
      <w:r w:rsidR="004773A8" w:rsidRPr="001E1C96">
        <w:rPr>
          <w:rFonts w:ascii="Times New Roman" w:hAnsi="Times New Roman"/>
          <w:color w:val="000000"/>
          <w:sz w:val="24"/>
          <w:szCs w:val="24"/>
        </w:rPr>
        <w:t xml:space="preserve">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="004773A8" w:rsidRPr="001E1C9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DA3859" w:rsidRPr="001E1C96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2.1.4. Проверка отчета о движении денежных средств  (ф.0503123)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Pr="001E1C96">
        <w:rPr>
          <w:rFonts w:ascii="Times New Roman" w:hAnsi="Times New Roman"/>
          <w:b/>
          <w:sz w:val="24"/>
          <w:szCs w:val="24"/>
        </w:rPr>
        <w:t xml:space="preserve">  </w:t>
      </w:r>
      <w:r w:rsidRPr="001E1C96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отчетами соблюдены. 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A3859" w:rsidRPr="001E1C96">
        <w:rPr>
          <w:rFonts w:ascii="Times New Roman" w:hAnsi="Times New Roman"/>
          <w:b/>
          <w:sz w:val="24"/>
          <w:szCs w:val="24"/>
        </w:rPr>
        <w:t>1.</w:t>
      </w:r>
      <w:r w:rsidR="00485D12" w:rsidRPr="001E1C96">
        <w:rPr>
          <w:rFonts w:ascii="Times New Roman" w:hAnsi="Times New Roman"/>
          <w:b/>
          <w:sz w:val="24"/>
          <w:szCs w:val="24"/>
        </w:rPr>
        <w:t>5</w:t>
      </w:r>
      <w:r w:rsidRPr="001E1C96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 бюджетных средств  (ф.0503127)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Отчет об исполнении бюджета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проведенного анализа  отклонений  не установлено.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 по </w:t>
      </w:r>
      <w:r w:rsidR="0017231B" w:rsidRPr="001E1C96">
        <w:rPr>
          <w:rFonts w:ascii="Times New Roman" w:hAnsi="Times New Roman"/>
          <w:sz w:val="24"/>
          <w:szCs w:val="24"/>
        </w:rPr>
        <w:t>(</w:t>
      </w:r>
      <w:r w:rsidRPr="001E1C96">
        <w:rPr>
          <w:rFonts w:ascii="Times New Roman" w:hAnsi="Times New Roman"/>
          <w:sz w:val="24"/>
          <w:szCs w:val="24"/>
        </w:rPr>
        <w:t>ф.0503127</w:t>
      </w:r>
      <w:r w:rsidR="0017231B" w:rsidRPr="001E1C96">
        <w:rPr>
          <w:rFonts w:ascii="Times New Roman" w:hAnsi="Times New Roman"/>
          <w:sz w:val="24"/>
          <w:szCs w:val="24"/>
        </w:rPr>
        <w:t>)</w:t>
      </w:r>
      <w:r w:rsidRPr="001E1C96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 w:rsidRPr="001E1C96">
        <w:rPr>
          <w:rFonts w:ascii="Times New Roman" w:hAnsi="Times New Roman"/>
          <w:sz w:val="24"/>
          <w:szCs w:val="24"/>
        </w:rPr>
        <w:t xml:space="preserve">формами </w:t>
      </w:r>
      <w:r w:rsidR="00A374FE" w:rsidRPr="001E1C96">
        <w:rPr>
          <w:rFonts w:ascii="Times New Roman" w:hAnsi="Times New Roman"/>
          <w:sz w:val="24"/>
          <w:szCs w:val="24"/>
        </w:rPr>
        <w:t>отчетов</w:t>
      </w:r>
      <w:r w:rsidRPr="001E1C96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3A503C" w:rsidRPr="001E1C96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125CFE" w:rsidRPr="001E1C96">
        <w:rPr>
          <w:rFonts w:ascii="Times New Roman" w:hAnsi="Times New Roman"/>
          <w:b/>
          <w:sz w:val="24"/>
          <w:szCs w:val="24"/>
        </w:rPr>
        <w:t>6</w:t>
      </w:r>
      <w:r w:rsidRPr="001E1C96">
        <w:rPr>
          <w:rFonts w:ascii="Times New Roman" w:hAnsi="Times New Roman"/>
          <w:b/>
          <w:sz w:val="24"/>
          <w:szCs w:val="24"/>
        </w:rPr>
        <w:t>. Проверка  отчета  о бюджетных обязательствах (ф.0503128)</w:t>
      </w: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бюджетных обязательствах отклонений не установлено, контрольные соотношения по (ф.0503128) с представленн</w:t>
      </w:r>
      <w:r w:rsidR="00F61D71" w:rsidRPr="001E1C96">
        <w:rPr>
          <w:rFonts w:ascii="Times New Roman" w:hAnsi="Times New Roman"/>
          <w:sz w:val="24"/>
          <w:szCs w:val="24"/>
        </w:rPr>
        <w:t>ыми отчетами соблюдены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1.2.</w:t>
      </w:r>
      <w:r w:rsidR="00A438A5" w:rsidRPr="001E1C96">
        <w:rPr>
          <w:rFonts w:ascii="Times New Roman" w:hAnsi="Times New Roman"/>
          <w:b/>
          <w:sz w:val="24"/>
          <w:szCs w:val="24"/>
        </w:rPr>
        <w:t>7</w:t>
      </w:r>
      <w:r w:rsidRPr="001E1C96">
        <w:rPr>
          <w:rFonts w:ascii="Times New Roman" w:hAnsi="Times New Roman"/>
          <w:b/>
          <w:sz w:val="24"/>
          <w:szCs w:val="24"/>
        </w:rPr>
        <w:t>.  Проверка пояснительной записки (ф.0503160)</w:t>
      </w: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 w:rsidRPr="001E1C96">
        <w:rPr>
          <w:rFonts w:ascii="Times New Roman" w:hAnsi="Times New Roman"/>
          <w:sz w:val="24"/>
          <w:szCs w:val="24"/>
        </w:rPr>
        <w:t xml:space="preserve">заполнена в </w:t>
      </w:r>
      <w:r w:rsidR="000D30FE" w:rsidRPr="001E1C96">
        <w:rPr>
          <w:rFonts w:ascii="Times New Roman" w:hAnsi="Times New Roman"/>
          <w:sz w:val="24"/>
          <w:szCs w:val="24"/>
        </w:rPr>
        <w:t>соответствии с п.</w:t>
      </w:r>
      <w:r w:rsidR="00B258EC" w:rsidRPr="001E1C96">
        <w:rPr>
          <w:rFonts w:ascii="Times New Roman" w:hAnsi="Times New Roman"/>
          <w:sz w:val="24"/>
          <w:szCs w:val="24"/>
        </w:rPr>
        <w:t xml:space="preserve"> 152 </w:t>
      </w:r>
      <w:r w:rsidR="000D3436" w:rsidRPr="001E1C96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 w:rsidRPr="001E1C96">
        <w:rPr>
          <w:rFonts w:ascii="Times New Roman" w:hAnsi="Times New Roman"/>
          <w:sz w:val="24"/>
          <w:szCs w:val="24"/>
        </w:rPr>
        <w:t>.</w:t>
      </w:r>
      <w:r w:rsidR="000D3436" w:rsidRPr="001E1C96">
        <w:rPr>
          <w:rFonts w:ascii="Times New Roman" w:hAnsi="Times New Roman"/>
          <w:sz w:val="24"/>
          <w:szCs w:val="24"/>
        </w:rPr>
        <w:t xml:space="preserve"> </w:t>
      </w:r>
      <w:r w:rsidR="00B258EC" w:rsidRPr="001E1C96">
        <w:rPr>
          <w:rFonts w:ascii="Times New Roman" w:hAnsi="Times New Roman"/>
          <w:sz w:val="24"/>
          <w:szCs w:val="24"/>
        </w:rPr>
        <w:t>К</w:t>
      </w:r>
      <w:r w:rsidRPr="001E1C96">
        <w:rPr>
          <w:rFonts w:ascii="Times New Roman" w:hAnsi="Times New Roman"/>
          <w:sz w:val="24"/>
          <w:szCs w:val="24"/>
        </w:rPr>
        <w:t>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7196C" w:rsidRPr="001E1C96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567B0D" w:rsidRPr="001E1C96" w:rsidRDefault="00567B0D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30A9D" w:rsidRPr="001E1C96" w:rsidRDefault="00E258BD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730A9D" w:rsidRPr="001E1C96">
          <w:rPr>
            <w:rStyle w:val="a8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Таблица 2</w:t>
        </w:r>
      </w:hyperlink>
      <w:r w:rsidR="00730A9D" w:rsidRPr="001E1C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"Сведения о мерах по повышению эффективности расходования бюджетных средств".</w:t>
      </w:r>
      <w:r w:rsidR="00730A9D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961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2" w:anchor="/document/71821756/entry/1130" w:history="1">
        <w:r w:rsidR="00653961" w:rsidRPr="001E1C96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Приказ</w:t>
        </w:r>
      </w:hyperlink>
      <w:r w:rsidR="00653961" w:rsidRPr="001E1C96">
        <w:rPr>
          <w:rStyle w:val="ab"/>
          <w:rFonts w:ascii="Times New Roman" w:hAnsi="Times New Roman"/>
          <w:i w:val="0"/>
          <w:sz w:val="24"/>
          <w:szCs w:val="24"/>
        </w:rPr>
        <w:t>ом Минфина России от</w:t>
      </w:r>
      <w:r w:rsidR="00653961" w:rsidRPr="001E1C96">
        <w:rPr>
          <w:rFonts w:ascii="Times New Roman" w:hAnsi="Times New Roman"/>
          <w:i/>
          <w:sz w:val="24"/>
          <w:szCs w:val="24"/>
        </w:rPr>
        <w:t xml:space="preserve"> </w:t>
      </w:r>
      <w:r w:rsidR="00653961" w:rsidRPr="001E1C96">
        <w:rPr>
          <w:rFonts w:ascii="Times New Roman" w:hAnsi="Times New Roman"/>
          <w:sz w:val="24"/>
          <w:szCs w:val="24"/>
        </w:rPr>
        <w:t xml:space="preserve">2 </w:t>
      </w:r>
      <w:r w:rsidR="00653961" w:rsidRPr="001E1C96">
        <w:rPr>
          <w:rStyle w:val="ab"/>
          <w:rFonts w:ascii="Times New Roman" w:hAnsi="Times New Roman"/>
          <w:i w:val="0"/>
          <w:sz w:val="24"/>
          <w:szCs w:val="24"/>
        </w:rPr>
        <w:t>ноября 2017 г</w:t>
      </w:r>
      <w:r w:rsidR="00653961" w:rsidRPr="001E1C96">
        <w:rPr>
          <w:rFonts w:ascii="Times New Roman" w:hAnsi="Times New Roman"/>
          <w:i/>
          <w:sz w:val="24"/>
          <w:szCs w:val="24"/>
        </w:rPr>
        <w:t xml:space="preserve">. </w:t>
      </w:r>
      <w:r w:rsidR="00653961" w:rsidRPr="001E1C96">
        <w:rPr>
          <w:rStyle w:val="ab"/>
          <w:rFonts w:ascii="Times New Roman" w:hAnsi="Times New Roman"/>
          <w:i w:val="0"/>
          <w:sz w:val="24"/>
          <w:szCs w:val="24"/>
        </w:rPr>
        <w:t xml:space="preserve">N 176н </w:t>
      </w:r>
      <w:hyperlink r:id="rId13" w:history="1">
        <w:r w:rsidR="00730A9D"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</w:t>
        </w:r>
        <w:r w:rsidR="00653961"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ункт</w:t>
        </w:r>
        <w:r w:rsidR="00730A9D"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154</w:t>
        </w:r>
      </w:hyperlink>
      <w:r w:rsidR="00653961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</w:t>
      </w:r>
      <w:r w:rsidR="00653961" w:rsidRPr="001E1C96">
        <w:rPr>
          <w:rFonts w:ascii="Times New Roman" w:hAnsi="Times New Roman"/>
          <w:sz w:val="24"/>
          <w:szCs w:val="24"/>
        </w:rPr>
        <w:t>, предусматривающий заполнение данной таблицы,</w:t>
      </w:r>
      <w:r w:rsidR="00730A9D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961" w:rsidRPr="001E1C96">
        <w:rPr>
          <w:rFonts w:ascii="Times New Roman" w:eastAsia="Times New Roman" w:hAnsi="Times New Roman"/>
          <w:sz w:val="24"/>
          <w:szCs w:val="24"/>
          <w:lang w:eastAsia="ru-RU"/>
        </w:rPr>
        <w:t>утратил силу</w:t>
      </w:r>
      <w:r w:rsidR="00730A9D" w:rsidRPr="001E1C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A9D" w:rsidRPr="001E1C96" w:rsidRDefault="00730A9D" w:rsidP="00730A9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в составе отчетности </w:t>
      </w:r>
      <w:r w:rsidRPr="001E1C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 </w:t>
      </w:r>
      <w:r w:rsidR="00653961" w:rsidRPr="001E1C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заполняется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3961" w:rsidRPr="001E1C96" w:rsidRDefault="00653961" w:rsidP="00730A9D">
      <w:pPr>
        <w:spacing w:after="0" w:line="240" w:lineRule="auto"/>
        <w:ind w:firstLine="709"/>
        <w:jc w:val="both"/>
      </w:pPr>
    </w:p>
    <w:p w:rsidR="00653961" w:rsidRPr="001E1C96" w:rsidRDefault="00E258BD" w:rsidP="00730A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4" w:anchor="/document/12181732/entry/503160886" w:history="1">
        <w:r w:rsidR="00653961" w:rsidRPr="001E1C96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Таблица  6</w:t>
        </w:r>
      </w:hyperlink>
      <w:r w:rsidR="00653961" w:rsidRPr="001E1C96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7196C" w:rsidRPr="001E1C96" w:rsidRDefault="00653961" w:rsidP="00730A9D">
      <w:pPr>
        <w:spacing w:after="0" w:line="240" w:lineRule="auto"/>
        <w:ind w:firstLine="709"/>
        <w:jc w:val="both"/>
      </w:pPr>
      <w:r w:rsidRPr="001E1C96">
        <w:rPr>
          <w:rStyle w:val="ab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5" w:anchor="/document/12181732/entry/503160886" w:history="1">
        <w:r w:rsidRPr="001E1C96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Таблица N 6</w:t>
        </w:r>
      </w:hyperlink>
      <w:r w:rsidRPr="001E1C96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1E1C96">
        <w:rPr>
          <w:rStyle w:val="ab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1E1C96">
        <w:rPr>
          <w:rStyle w:val="ab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6" w:anchor="/document/12181732/entry/503160" w:history="1">
        <w:r w:rsidRPr="001E1C96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ф. 0503160</w:t>
        </w:r>
      </w:hyperlink>
      <w:r w:rsidRPr="001E1C96">
        <w:rPr>
          <w:rStyle w:val="ab"/>
          <w:rFonts w:ascii="Times New Roman" w:hAnsi="Times New Roman"/>
          <w:i w:val="0"/>
          <w:sz w:val="24"/>
          <w:szCs w:val="24"/>
        </w:rPr>
        <w:t>)</w:t>
      </w:r>
      <w:r w:rsidRPr="001E1C96">
        <w:t>.</w:t>
      </w:r>
    </w:p>
    <w:p w:rsidR="002D2198" w:rsidRPr="001E1C96" w:rsidRDefault="002D2198" w:rsidP="00730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8BD" w:rsidRDefault="00E258BD" w:rsidP="00F71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8BD" w:rsidRDefault="00E258BD" w:rsidP="00F71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Сведения о результатах деятельности </w:t>
      </w:r>
      <w:hyperlink r:id="rId17" w:history="1">
        <w:r w:rsidRPr="001E1C96">
          <w:rPr>
            <w:rStyle w:val="a8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(ф. 0503162)</w:t>
        </w:r>
      </w:hyperlink>
      <w:r w:rsidRPr="001E1C96">
        <w:rPr>
          <w:rStyle w:val="a8"/>
          <w:rFonts w:ascii="Times New Roman" w:eastAsia="Times New Roman" w:hAnsi="Times New Roman"/>
          <w:b/>
          <w:bCs/>
          <w:color w:val="auto"/>
          <w:sz w:val="24"/>
          <w:szCs w:val="24"/>
          <w:u w:val="none"/>
          <w:lang w:eastAsia="ru-RU"/>
        </w:rPr>
        <w:t>.</w:t>
      </w: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7F105D" w:rsidRPr="001E1C96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1E1C96">
        <w:rPr>
          <w:rFonts w:ascii="Times New Roman" w:hAnsi="Times New Roman"/>
          <w:sz w:val="24"/>
          <w:szCs w:val="24"/>
        </w:rPr>
        <w:t xml:space="preserve">муниципальное задание не создано, следовательно данная форма </w:t>
      </w:r>
      <w:r w:rsidRPr="001E1C96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1E1C96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7F105D" w:rsidRPr="001E1C96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05D" w:rsidRPr="001E1C96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изменениях бюджетной росписи главного распорядителя бюджетных средств </w:t>
      </w:r>
      <w:hyperlink r:id="rId18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0503163)</w:t>
        </w:r>
      </w:hyperlink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105D" w:rsidRPr="001E1C96" w:rsidRDefault="007672F2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указаниями п. 162 Инструкции 191н.</w:t>
      </w:r>
    </w:p>
    <w:p w:rsidR="007672F2" w:rsidRPr="001E1C96" w:rsidRDefault="007672F2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Балансовая стоимость основных средств увеличилась на 73,23 тыс. рублей или на 5,4%, в том числе за счет:</w:t>
      </w:r>
    </w:p>
    <w:p w:rsidR="001E1C96" w:rsidRPr="001E1C96" w:rsidRDefault="001E1C96" w:rsidP="001E1C96">
      <w:pPr>
        <w:pStyle w:val="ac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Поступления в 2018 году на сумму 73,23 тыс. рублей, в том числе: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«Машины и оборудование» на сумму 50,098 тыс. рублей;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производственный и хозяйственный инвентарь на сумму 23,13 тыс. рублей.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 2. Выбытия в 2018 году на сумму 240,76 тыс. рублей, в том числе: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машины и оборудование на сумму 226,61 тыс. рублей;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производственный и хозяйственный инвентарь на сумму 12,15 тыс. рублей.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96C" w:rsidRPr="001E1C96" w:rsidRDefault="00F7196C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9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hAnsi="Times New Roman"/>
          <w:sz w:val="24"/>
          <w:szCs w:val="24"/>
        </w:rPr>
        <w:t>.</w:t>
      </w:r>
    </w:p>
    <w:p w:rsidR="00763B66" w:rsidRPr="001E1C96" w:rsidRDefault="00DE6570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20" w:history="1">
        <w:r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="009D3CB8" w:rsidRPr="001E1C96">
        <w:rPr>
          <w:rFonts w:ascii="Times New Roman" w:hAnsi="Times New Roman"/>
          <w:sz w:val="24"/>
          <w:szCs w:val="24"/>
        </w:rPr>
        <w:t>.</w:t>
      </w:r>
      <w:r w:rsidR="00CE71E5" w:rsidRPr="001E1C96">
        <w:rPr>
          <w:rFonts w:ascii="Times New Roman" w:hAnsi="Times New Roman"/>
          <w:sz w:val="24"/>
          <w:szCs w:val="24"/>
        </w:rPr>
        <w:t xml:space="preserve"> </w:t>
      </w:r>
      <w:r w:rsidR="00B305AE" w:rsidRPr="001E1C96">
        <w:rPr>
          <w:rFonts w:ascii="Times New Roman" w:hAnsi="Times New Roman"/>
          <w:sz w:val="24"/>
          <w:szCs w:val="24"/>
        </w:rPr>
        <w:t>К</w:t>
      </w:r>
      <w:r w:rsidR="00B305AE" w:rsidRPr="001E1C96">
        <w:rPr>
          <w:rFonts w:ascii="Times New Roman" w:eastAsia="Times New Roman" w:hAnsi="Times New Roman"/>
          <w:sz w:val="24"/>
          <w:szCs w:val="24"/>
          <w:lang w:eastAsia="ru-RU"/>
        </w:rPr>
        <w:t>онтрольные соотношений с Балансом (ф. 0503130) выдержаны.</w:t>
      </w:r>
    </w:p>
    <w:p w:rsidR="008024B0" w:rsidRPr="001E1C96" w:rsidRDefault="00DE6570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Дебиторская и к</w:t>
      </w:r>
      <w:r w:rsidR="008024B0" w:rsidRPr="001E1C96">
        <w:rPr>
          <w:rFonts w:ascii="Times New Roman" w:hAnsi="Times New Roman"/>
          <w:sz w:val="24"/>
          <w:szCs w:val="24"/>
        </w:rPr>
        <w:t>редиторская задолженность по состоянию на 01.01.201</w:t>
      </w:r>
      <w:r w:rsidR="00F71DA0" w:rsidRPr="001E1C96">
        <w:rPr>
          <w:rFonts w:ascii="Times New Roman" w:hAnsi="Times New Roman"/>
          <w:sz w:val="24"/>
          <w:szCs w:val="24"/>
        </w:rPr>
        <w:t>9</w:t>
      </w:r>
      <w:r w:rsidR="008024B0" w:rsidRPr="001E1C96">
        <w:rPr>
          <w:rFonts w:ascii="Times New Roman" w:hAnsi="Times New Roman"/>
          <w:sz w:val="24"/>
          <w:szCs w:val="24"/>
        </w:rPr>
        <w:t xml:space="preserve"> года </w:t>
      </w:r>
      <w:r w:rsidR="001C4AF3" w:rsidRPr="001E1C96">
        <w:rPr>
          <w:rFonts w:ascii="Times New Roman" w:hAnsi="Times New Roman"/>
          <w:sz w:val="24"/>
          <w:szCs w:val="24"/>
        </w:rPr>
        <w:t>отсутствует.</w:t>
      </w:r>
    </w:p>
    <w:p w:rsidR="00812F4C" w:rsidRPr="001E1C96" w:rsidRDefault="00812F4C" w:rsidP="00B3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5AE" w:rsidRPr="001E1C96" w:rsidRDefault="00093154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использовании информационно-коммуникационных технологий </w:t>
      </w:r>
      <w:hyperlink r:id="rId21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0503177)</w:t>
        </w:r>
      </w:hyperlink>
      <w:r w:rsidRPr="001E1C96">
        <w:rPr>
          <w:rFonts w:ascii="Times New Roman" w:hAnsi="Times New Roman"/>
          <w:sz w:val="24"/>
          <w:szCs w:val="24"/>
        </w:rPr>
        <w:t xml:space="preserve"> </w:t>
      </w:r>
      <w:r w:rsidR="00B305AE" w:rsidRPr="001E1C96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указаниями п. 172 Инструкции 191н.</w:t>
      </w:r>
    </w:p>
    <w:p w:rsidR="00B305AE" w:rsidRPr="001E1C96" w:rsidRDefault="00B305AE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1E1C96" w:rsidRDefault="002C7788" w:rsidP="00B3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за 201</w:t>
      </w:r>
      <w:r w:rsidR="004C6686" w:rsidRPr="001E1C96">
        <w:rPr>
          <w:rFonts w:ascii="Times New Roman" w:hAnsi="Times New Roman"/>
          <w:b/>
          <w:sz w:val="24"/>
          <w:szCs w:val="24"/>
        </w:rPr>
        <w:t>8</w:t>
      </w:r>
      <w:r w:rsidRPr="001E1C96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1E1C96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 w:rsidRPr="001E1C96">
        <w:rPr>
          <w:rFonts w:ascii="Times New Roman" w:hAnsi="Times New Roman"/>
          <w:b/>
          <w:sz w:val="24"/>
          <w:szCs w:val="24"/>
        </w:rPr>
        <w:t>: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1E1C96" w:rsidRDefault="00070BFF" w:rsidP="00B42FE2">
      <w:pPr>
        <w:keepNext/>
        <w:keepLines/>
        <w:tabs>
          <w:tab w:val="left" w:pos="6946"/>
        </w:tabs>
        <w:spacing w:after="0" w:line="240" w:lineRule="auto"/>
        <w:ind w:firstLine="284"/>
        <w:jc w:val="both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1. Нерюнгринским районным Советом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BC2276" w:rsidRPr="001E1C96">
        <w:rPr>
          <w:rFonts w:ascii="Times New Roman" w:hAnsi="Times New Roman"/>
          <w:sz w:val="24"/>
          <w:szCs w:val="24"/>
        </w:rPr>
        <w:t>.07.</w:t>
      </w:r>
      <w:r w:rsidRPr="001E1C96">
        <w:rPr>
          <w:rFonts w:ascii="Times New Roman" w:hAnsi="Times New Roman"/>
          <w:sz w:val="24"/>
          <w:szCs w:val="24"/>
        </w:rPr>
        <w:t xml:space="preserve">1998 </w:t>
      </w:r>
      <w:r w:rsidR="00BC2276" w:rsidRPr="001E1C96">
        <w:rPr>
          <w:rFonts w:ascii="Times New Roman" w:hAnsi="Times New Roman"/>
          <w:sz w:val="24"/>
          <w:szCs w:val="24"/>
        </w:rPr>
        <w:t>№</w:t>
      </w:r>
      <w:r w:rsidRPr="001E1C96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     Федеральным законом от 06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070BFF" w:rsidRPr="001E1C96" w:rsidRDefault="00070BFF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C9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Pr="001E1C96">
        <w:rPr>
          <w:rFonts w:ascii="Times New Roman" w:hAnsi="Times New Roman"/>
          <w:color w:val="000000"/>
          <w:sz w:val="24"/>
          <w:szCs w:val="24"/>
        </w:rPr>
        <w:t>за 201</w:t>
      </w:r>
      <w:r w:rsidR="004C6686" w:rsidRPr="001E1C96">
        <w:rPr>
          <w:rFonts w:ascii="Times New Roman" w:hAnsi="Times New Roman"/>
          <w:color w:val="000000"/>
          <w:sz w:val="24"/>
          <w:szCs w:val="24"/>
        </w:rPr>
        <w:t>8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 w:rsidRPr="001E1C96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</w:t>
      </w:r>
      <w:r w:rsidRPr="001E1C96">
        <w:rPr>
          <w:rFonts w:ascii="Times New Roman" w:hAnsi="Times New Roman"/>
          <w:color w:val="000000"/>
          <w:sz w:val="24"/>
          <w:szCs w:val="24"/>
        </w:rPr>
        <w:t>.</w:t>
      </w:r>
    </w:p>
    <w:p w:rsidR="00DA10B9" w:rsidRPr="001E1C96" w:rsidRDefault="00DA10B9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C96">
        <w:rPr>
          <w:rFonts w:ascii="Times New Roman" w:hAnsi="Times New Roman"/>
          <w:color w:val="000000"/>
          <w:sz w:val="24"/>
          <w:szCs w:val="24"/>
        </w:rPr>
        <w:t xml:space="preserve">3. При заполнении </w:t>
      </w:r>
      <w:r w:rsidRPr="001E1C96">
        <w:rPr>
          <w:rFonts w:ascii="Times New Roman" w:hAnsi="Times New Roman"/>
          <w:sz w:val="24"/>
          <w:szCs w:val="24"/>
        </w:rPr>
        <w:t>пояснительной записки</w:t>
      </w:r>
      <w:r w:rsidRPr="001E1C96">
        <w:rPr>
          <w:rFonts w:ascii="Times New Roman" w:hAnsi="Times New Roman"/>
          <w:b/>
          <w:sz w:val="24"/>
          <w:szCs w:val="24"/>
        </w:rPr>
        <w:t xml:space="preserve"> (ф.0503160) </w:t>
      </w:r>
      <w:r w:rsidRPr="001E1C96">
        <w:rPr>
          <w:rFonts w:ascii="Times New Roman" w:hAnsi="Times New Roman"/>
          <w:sz w:val="24"/>
          <w:szCs w:val="24"/>
        </w:rPr>
        <w:t>и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меет место </w:t>
      </w:r>
      <w:r w:rsidR="00B305AE" w:rsidRPr="001E1C96">
        <w:rPr>
          <w:rFonts w:ascii="Times New Roman" w:hAnsi="Times New Roman"/>
          <w:color w:val="000000"/>
          <w:sz w:val="24"/>
          <w:szCs w:val="24"/>
        </w:rPr>
        <w:t xml:space="preserve">заполнение таблиц, которые в </w:t>
      </w:r>
      <w:r w:rsidRPr="001E1C96">
        <w:rPr>
          <w:rFonts w:ascii="Times New Roman" w:hAnsi="Times New Roman"/>
          <w:sz w:val="24"/>
          <w:szCs w:val="24"/>
        </w:rPr>
        <w:t>соответствие 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B305AE" w:rsidRPr="001E1C96">
        <w:rPr>
          <w:rFonts w:ascii="Times New Roman" w:hAnsi="Times New Roman"/>
          <w:sz w:val="24"/>
          <w:szCs w:val="24"/>
        </w:rPr>
        <w:t xml:space="preserve"> не заполняются.</w:t>
      </w:r>
    </w:p>
    <w:p w:rsidR="00070BFF" w:rsidRDefault="00070BFF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lastRenderedPageBreak/>
        <w:t xml:space="preserve">Объем проверенных средств составил </w:t>
      </w:r>
      <w:r w:rsidR="007672F2" w:rsidRPr="001E1C96">
        <w:rPr>
          <w:rFonts w:ascii="Times New Roman" w:hAnsi="Times New Roman"/>
          <w:sz w:val="24"/>
          <w:szCs w:val="24"/>
        </w:rPr>
        <w:t>–</w:t>
      </w:r>
      <w:r w:rsidR="002C7788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7672F2" w:rsidRPr="001E1C96">
        <w:rPr>
          <w:rFonts w:ascii="Times New Roman" w:hAnsi="Times New Roman"/>
          <w:b/>
          <w:sz w:val="24"/>
          <w:szCs w:val="24"/>
        </w:rPr>
        <w:t>8 926,01</w:t>
      </w:r>
      <w:r w:rsidR="001C4AF3" w:rsidRPr="001E1C96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E1C96">
        <w:rPr>
          <w:rFonts w:ascii="Times New Roman" w:hAnsi="Times New Roman"/>
          <w:b/>
          <w:sz w:val="24"/>
          <w:szCs w:val="24"/>
        </w:rPr>
        <w:t>тыс. руб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Pr="00936009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(а)  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009">
        <w:rPr>
          <w:rFonts w:ascii="Times New Roman" w:hAnsi="Times New Roman"/>
          <w:sz w:val="24"/>
          <w:szCs w:val="24"/>
        </w:rPr>
        <w:t xml:space="preserve">  (____________________)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585208">
        <w:rPr>
          <w:rFonts w:ascii="Times New Roman" w:hAnsi="Times New Roman"/>
          <w:sz w:val="24"/>
          <w:szCs w:val="24"/>
        </w:rPr>
        <w:t>9</w:t>
      </w:r>
      <w:bookmarkStart w:id="1" w:name="_GoBack"/>
      <w:bookmarkEnd w:id="1"/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F860A9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A10B9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1E1C96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 w:rsidR="001E1C9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1E1C96" w:rsidRDefault="001E1C96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E2496F" w:rsidRPr="00F860A9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F860A9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F860A9" w:rsidRDefault="00E2496F" w:rsidP="00E258BD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 w:rsidR="00585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2E62A6" w:rsidRDefault="00E2496F" w:rsidP="004C668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4C6686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7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C6686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-</w:t>
            </w:r>
            <w:r w:rsidR="004C6686">
              <w:rPr>
                <w:rFonts w:ascii="Times New Roman" w:hAnsi="Times New Roman"/>
                <w:sz w:val="24"/>
                <w:szCs w:val="24"/>
              </w:rPr>
              <w:t>42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бюджете Нерюнгринского района на 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4C66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E2496F" w:rsidRPr="00F860A9" w:rsidRDefault="00E2496F" w:rsidP="00E2496F">
      <w:pPr>
        <w:rPr>
          <w:sz w:val="24"/>
          <w:szCs w:val="24"/>
        </w:rPr>
      </w:pPr>
    </w:p>
    <w:p w:rsidR="00E2496F" w:rsidRDefault="00E2496F" w:rsidP="00E2496F"/>
    <w:p w:rsidR="00E2496F" w:rsidRDefault="00E2496F"/>
    <w:p w:rsidR="00E2496F" w:rsidRDefault="00E2496F"/>
    <w:sectPr w:rsidR="00E2496F" w:rsidSect="00E258BD">
      <w:footerReference w:type="even" r:id="rId22"/>
      <w:footerReference w:type="default" r:id="rId23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72" w:rsidRDefault="004F4572">
      <w:pPr>
        <w:spacing w:after="0" w:line="240" w:lineRule="auto"/>
      </w:pPr>
      <w:r>
        <w:separator/>
      </w:r>
    </w:p>
  </w:endnote>
  <w:endnote w:type="continuationSeparator" w:id="0">
    <w:p w:rsidR="004F4572" w:rsidRDefault="004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8DF">
      <w:rPr>
        <w:rStyle w:val="a5"/>
        <w:noProof/>
      </w:rPr>
      <w:t>8</w: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72" w:rsidRDefault="004F4572">
      <w:pPr>
        <w:spacing w:after="0" w:line="240" w:lineRule="auto"/>
      </w:pPr>
      <w:r>
        <w:separator/>
      </w:r>
    </w:p>
  </w:footnote>
  <w:footnote w:type="continuationSeparator" w:id="0">
    <w:p w:rsidR="004F4572" w:rsidRDefault="004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02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2FD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8B"/>
    <w:rsid w:val="001D6A69"/>
    <w:rsid w:val="001D7557"/>
    <w:rsid w:val="001D7821"/>
    <w:rsid w:val="001D784C"/>
    <w:rsid w:val="001E091F"/>
    <w:rsid w:val="001E1C96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C05"/>
    <w:rsid w:val="004360A1"/>
    <w:rsid w:val="00436E5A"/>
    <w:rsid w:val="00436E82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572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5A92"/>
    <w:rsid w:val="00B87E8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8BD"/>
    <w:rsid w:val="00E26E2B"/>
    <w:rsid w:val="00E27DBC"/>
    <w:rsid w:val="00E306CA"/>
    <w:rsid w:val="00E3074A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414D"/>
    <w:rsid w:val="00E5479A"/>
    <w:rsid w:val="00E55683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hyperlink" Target="consultantplus://offline/ref=152EAD911CA3D7431D2A562D54EBCBFF63A32BFC80033AA4205B29706A92FC38A064C97DDE128965V4m1C" TargetMode="External"/><Relationship Id="rId18" Type="http://schemas.openxmlformats.org/officeDocument/2006/relationships/hyperlink" Target="consultantplus://offline/ref=A9253FE2FB931E93658A5CFD2D227BE565C52410A3B54BCAA97632853158377A70FF82B6A4CC2E99m50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BB94C680295A0A81725CB21199E43333B4808550B1DA1AABF2CDA10E785C33423133E774BCC06E835t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consultantplus://offline/ref=A4B75FCFECC7BFAB204F1B5D3A4D8C7C899300C367099ACB145668C8DB67B040D3EB8F8F5D28E3F0I1H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consultantplus://offline/ref=BFD238A5F01A4E44B5F202FEE034557510E214A9BE08DA570271A033CBDE13FC375B6531EA37E487NAV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2EAD911CA3D7431D2A562D54EBCBFF63A32BFC80033AA4205B29706A92FC38A064C97DDE108B6CV4m7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consultantplus://offline/ref=BFD238A5F01A4E44B5F202FEE034557510E214A9BE08DA570271A033CBDE13FC375B6531EA37E487NAVED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2019-04-27T08:37:00Z</cp:lastPrinted>
  <dcterms:created xsi:type="dcterms:W3CDTF">2019-04-27T08:38:00Z</dcterms:created>
  <dcterms:modified xsi:type="dcterms:W3CDTF">2019-04-27T08:38:00Z</dcterms:modified>
</cp:coreProperties>
</file>